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26" w:rsidRPr="003B1057" w:rsidRDefault="00A04726" w:rsidP="00A04726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3B1057">
        <w:rPr>
          <w:rFonts w:ascii="Calibri" w:eastAsia="Times New Roman" w:hAnsi="Calibri" w:cs="Times New Roman"/>
          <w:sz w:val="28"/>
          <w:szCs w:val="28"/>
        </w:rPr>
        <w:t>Nation</w:t>
      </w:r>
      <w:r w:rsidRPr="003B1057">
        <w:rPr>
          <w:rFonts w:eastAsia="Times New Roman" w:cs="Times New Roman"/>
          <w:sz w:val="28"/>
          <w:szCs w:val="28"/>
        </w:rPr>
        <w:t xml:space="preserve">al Basketball Retired Players Association, Inc. </w:t>
      </w:r>
    </w:p>
    <w:p w:rsidR="00A04726" w:rsidRPr="003B1057" w:rsidRDefault="00A04726" w:rsidP="00A04726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3B1057">
        <w:rPr>
          <w:rFonts w:eastAsia="Times New Roman" w:cs="Times New Roman"/>
          <w:sz w:val="28"/>
          <w:szCs w:val="28"/>
        </w:rPr>
        <w:t xml:space="preserve"> BOARD OF DIRECTORS MEETING MINUTES</w:t>
      </w:r>
    </w:p>
    <w:p w:rsidR="00A04726" w:rsidRPr="003B1057" w:rsidRDefault="008A1DBC" w:rsidP="00A04726">
      <w:pPr>
        <w:spacing w:after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July 14</w:t>
      </w:r>
      <w:r w:rsidR="00A04726" w:rsidRPr="003B1057">
        <w:rPr>
          <w:rFonts w:eastAsia="Times New Roman" w:cs="Times New Roman"/>
          <w:sz w:val="28"/>
          <w:szCs w:val="28"/>
        </w:rPr>
        <w:t>, 2015</w:t>
      </w:r>
    </w:p>
    <w:p w:rsidR="00A04726" w:rsidRPr="003B1057" w:rsidRDefault="0094376A" w:rsidP="00A04726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3B1057">
        <w:rPr>
          <w:rFonts w:eastAsia="Times New Roman" w:cs="Times New Roman"/>
          <w:sz w:val="28"/>
          <w:szCs w:val="28"/>
        </w:rPr>
        <w:t>NYNY Casino – Las Vegas, NV</w:t>
      </w:r>
    </w:p>
    <w:p w:rsidR="00A04726" w:rsidRPr="003B1057" w:rsidRDefault="005842A0" w:rsidP="00A04726">
      <w:pPr>
        <w:spacing w:after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3:30 p.m.  – 5 p.m. PST</w:t>
      </w:r>
    </w:p>
    <w:p w:rsidR="0094376A" w:rsidRPr="003B1057" w:rsidRDefault="0094376A" w:rsidP="00A04726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:rsidR="00A04726" w:rsidRPr="003B1057" w:rsidRDefault="00A04726" w:rsidP="00A04726">
      <w:pPr>
        <w:numPr>
          <w:ilvl w:val="0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 w:rsidRPr="003B1057">
        <w:rPr>
          <w:rFonts w:eastAsia="Times New Roman" w:cs="Times New Roman"/>
          <w:b/>
          <w:sz w:val="24"/>
          <w:szCs w:val="24"/>
        </w:rPr>
        <w:t>Roll Call</w:t>
      </w:r>
    </w:p>
    <w:p w:rsidR="00A04726" w:rsidRPr="003B1057" w:rsidRDefault="00A0472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Thurl Bailey</w:t>
      </w:r>
    </w:p>
    <w:p w:rsidR="00A04726" w:rsidRPr="003B1057" w:rsidRDefault="00A0472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 xml:space="preserve">Dwight Davis </w:t>
      </w:r>
    </w:p>
    <w:p w:rsidR="00C63A86" w:rsidRPr="003B1057" w:rsidRDefault="00C63A8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James Donaldson</w:t>
      </w:r>
    </w:p>
    <w:p w:rsidR="005842A0" w:rsidRPr="003B1057" w:rsidRDefault="005842A0" w:rsidP="005842A0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Bob Elliott</w:t>
      </w:r>
    </w:p>
    <w:p w:rsidR="00C63A86" w:rsidRPr="003B1057" w:rsidRDefault="00C63A8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Mike Glenn</w:t>
      </w:r>
    </w:p>
    <w:p w:rsidR="00C63A86" w:rsidRPr="003B1057" w:rsidRDefault="00C63A8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La Rue Martin</w:t>
      </w:r>
    </w:p>
    <w:p w:rsidR="00A04726" w:rsidRPr="003B1057" w:rsidRDefault="00A0472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Johnny Newman</w:t>
      </w:r>
    </w:p>
    <w:p w:rsidR="00A04726" w:rsidRPr="003B1057" w:rsidRDefault="00A0472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Eldridge Recasner</w:t>
      </w:r>
    </w:p>
    <w:p w:rsidR="00A04726" w:rsidRPr="003B1057" w:rsidRDefault="00A0472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 xml:space="preserve">Marvin Roberts </w:t>
      </w:r>
    </w:p>
    <w:p w:rsidR="00A04726" w:rsidRPr="003B1057" w:rsidRDefault="00A04726" w:rsidP="00A04726">
      <w:pPr>
        <w:spacing w:after="0"/>
        <w:ind w:left="1440"/>
        <w:contextualSpacing/>
        <w:rPr>
          <w:rFonts w:eastAsia="Times New Roman" w:cs="Times New Roman"/>
          <w:sz w:val="24"/>
          <w:szCs w:val="24"/>
        </w:rPr>
      </w:pPr>
    </w:p>
    <w:p w:rsidR="00025959" w:rsidRPr="003B1057" w:rsidRDefault="00025959" w:rsidP="00A04726">
      <w:pPr>
        <w:numPr>
          <w:ilvl w:val="0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 w:rsidRPr="003B1057">
        <w:rPr>
          <w:rFonts w:eastAsia="Times New Roman" w:cs="Times New Roman"/>
          <w:b/>
          <w:sz w:val="24"/>
          <w:szCs w:val="24"/>
        </w:rPr>
        <w:t>Absent</w:t>
      </w:r>
    </w:p>
    <w:p w:rsidR="00D22C1C" w:rsidRDefault="00D22C1C" w:rsidP="00025959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Rick Barry</w:t>
      </w:r>
    </w:p>
    <w:p w:rsidR="00C753B8" w:rsidRPr="003B1057" w:rsidRDefault="00C753B8" w:rsidP="00025959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Spencer Haywood</w:t>
      </w:r>
    </w:p>
    <w:p w:rsidR="00025959" w:rsidRPr="003B1057" w:rsidRDefault="00025959" w:rsidP="00025959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Nancy Lieberman</w:t>
      </w:r>
    </w:p>
    <w:p w:rsidR="00025959" w:rsidRPr="003B1057" w:rsidRDefault="00A04726" w:rsidP="00025959">
      <w:pPr>
        <w:spacing w:after="0"/>
        <w:ind w:left="1080"/>
        <w:contextualSpacing/>
        <w:rPr>
          <w:rFonts w:eastAsia="Times New Roman" w:cs="Times New Roman"/>
          <w:b/>
          <w:sz w:val="24"/>
          <w:szCs w:val="24"/>
        </w:rPr>
      </w:pPr>
      <w:r w:rsidRPr="003B1057">
        <w:rPr>
          <w:rFonts w:eastAsia="Times New Roman" w:cs="Times New Roman"/>
          <w:b/>
          <w:sz w:val="24"/>
          <w:szCs w:val="24"/>
        </w:rPr>
        <w:t xml:space="preserve">   </w:t>
      </w:r>
    </w:p>
    <w:p w:rsidR="00A04726" w:rsidRPr="003B1057" w:rsidRDefault="00A04726" w:rsidP="00A04726">
      <w:pPr>
        <w:numPr>
          <w:ilvl w:val="0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 w:rsidRPr="003B1057">
        <w:rPr>
          <w:rFonts w:eastAsia="Times New Roman" w:cs="Times New Roman"/>
          <w:b/>
          <w:sz w:val="24"/>
          <w:szCs w:val="24"/>
        </w:rPr>
        <w:t>Other Attendees</w:t>
      </w:r>
    </w:p>
    <w:p w:rsidR="00A04726" w:rsidRPr="003B1057" w:rsidRDefault="00A0472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Arnie D. Fielkow, President and CEO</w:t>
      </w:r>
    </w:p>
    <w:p w:rsidR="00A04726" w:rsidRPr="003B1057" w:rsidRDefault="00A04726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>Scott Rochelle, General Counsel</w:t>
      </w:r>
    </w:p>
    <w:p w:rsidR="00A04726" w:rsidRPr="003B1057" w:rsidRDefault="00A04726" w:rsidP="00A04726">
      <w:pPr>
        <w:spacing w:after="0"/>
        <w:ind w:left="1440"/>
        <w:contextualSpacing/>
        <w:rPr>
          <w:rFonts w:eastAsia="Times New Roman" w:cs="Times New Roman"/>
          <w:sz w:val="24"/>
          <w:szCs w:val="24"/>
        </w:rPr>
      </w:pPr>
    </w:p>
    <w:p w:rsidR="00A04726" w:rsidRPr="003B1057" w:rsidRDefault="00C753B8" w:rsidP="003B1057">
      <w:pPr>
        <w:numPr>
          <w:ilvl w:val="0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Group Licensing Agreement Strategy</w:t>
      </w:r>
    </w:p>
    <w:p w:rsidR="00A04726" w:rsidRPr="00786796" w:rsidRDefault="00015144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CEO Arnie Fielkow updated the directors on the status of the communication around the Group Licensing Agreement. In preparation for </w:t>
      </w:r>
      <w:r w:rsidR="00786796">
        <w:rPr>
          <w:rFonts w:eastAsia="Times New Roman" w:cs="Times New Roman"/>
          <w:sz w:val="24"/>
          <w:szCs w:val="24"/>
        </w:rPr>
        <w:t xml:space="preserve">extension/renewal discussions, Fielkow presented contingencies and strategies for consideration. </w:t>
      </w:r>
    </w:p>
    <w:p w:rsidR="00786796" w:rsidRPr="00786796" w:rsidRDefault="00786796" w:rsidP="00786796">
      <w:pPr>
        <w:spacing w:after="0"/>
        <w:ind w:left="1440"/>
        <w:contextualSpacing/>
        <w:rPr>
          <w:rFonts w:eastAsia="Times New Roman" w:cs="Times New Roman"/>
          <w:b/>
          <w:sz w:val="24"/>
          <w:szCs w:val="24"/>
        </w:rPr>
      </w:pPr>
    </w:p>
    <w:p w:rsidR="00786796" w:rsidRDefault="00786796" w:rsidP="00786796">
      <w:pPr>
        <w:numPr>
          <w:ilvl w:val="0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 w:rsidRPr="00786796">
        <w:rPr>
          <w:rFonts w:eastAsia="Times New Roman" w:cs="Times New Roman"/>
          <w:b/>
          <w:sz w:val="24"/>
          <w:szCs w:val="24"/>
        </w:rPr>
        <w:t>NBPA Meeting Follow Up</w:t>
      </w:r>
    </w:p>
    <w:p w:rsidR="00786796" w:rsidRPr="00957541" w:rsidRDefault="00F41853" w:rsidP="0078679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The </w:t>
      </w:r>
      <w:r w:rsidR="00AB5A91">
        <w:rPr>
          <w:rFonts w:eastAsia="Times New Roman" w:cs="Times New Roman"/>
          <w:sz w:val="24"/>
          <w:szCs w:val="24"/>
        </w:rPr>
        <w:t xml:space="preserve">NBRPA engaged the </w:t>
      </w:r>
      <w:r>
        <w:rPr>
          <w:rFonts w:eastAsia="Times New Roman" w:cs="Times New Roman"/>
          <w:sz w:val="24"/>
          <w:szCs w:val="24"/>
        </w:rPr>
        <w:t>NBPA’s leadership, led by Executive Director Michele Roberts and</w:t>
      </w:r>
      <w:r w:rsidR="00AB5A91">
        <w:rPr>
          <w:rFonts w:eastAsia="Times New Roman" w:cs="Times New Roman"/>
          <w:sz w:val="24"/>
          <w:szCs w:val="24"/>
        </w:rPr>
        <w:t xml:space="preserve"> Deputy Executive Director</w:t>
      </w:r>
      <w:r>
        <w:rPr>
          <w:rFonts w:eastAsia="Times New Roman" w:cs="Times New Roman"/>
          <w:sz w:val="24"/>
          <w:szCs w:val="24"/>
        </w:rPr>
        <w:t xml:space="preserve"> Roger Mason, </w:t>
      </w:r>
      <w:r w:rsidR="00AB5A91">
        <w:rPr>
          <w:rFonts w:eastAsia="Times New Roman" w:cs="Times New Roman"/>
          <w:sz w:val="24"/>
          <w:szCs w:val="24"/>
        </w:rPr>
        <w:t xml:space="preserve">in </w:t>
      </w:r>
      <w:r w:rsidR="003B42A2">
        <w:rPr>
          <w:rFonts w:eastAsia="Times New Roman" w:cs="Times New Roman"/>
          <w:sz w:val="24"/>
          <w:szCs w:val="24"/>
        </w:rPr>
        <w:t>substantive</w:t>
      </w:r>
      <w:r>
        <w:rPr>
          <w:rFonts w:eastAsia="Times New Roman" w:cs="Times New Roman"/>
          <w:sz w:val="24"/>
          <w:szCs w:val="24"/>
        </w:rPr>
        <w:t xml:space="preserve"> </w:t>
      </w:r>
      <w:r w:rsidR="003B42A2">
        <w:rPr>
          <w:rFonts w:eastAsia="Times New Roman" w:cs="Times New Roman"/>
          <w:sz w:val="24"/>
          <w:szCs w:val="24"/>
        </w:rPr>
        <w:t xml:space="preserve">discussions on creating a </w:t>
      </w:r>
      <w:r w:rsidR="00AB5A91">
        <w:rPr>
          <w:rFonts w:eastAsia="Times New Roman" w:cs="Times New Roman"/>
          <w:sz w:val="24"/>
          <w:szCs w:val="24"/>
        </w:rPr>
        <w:t xml:space="preserve">fully collaborative partnership to benefit retired players. </w:t>
      </w:r>
      <w:r w:rsidR="00131076">
        <w:rPr>
          <w:rFonts w:eastAsia="Times New Roman" w:cs="Times New Roman"/>
          <w:sz w:val="24"/>
          <w:szCs w:val="24"/>
        </w:rPr>
        <w:t>Two in-person meetings have occurred during the Legends World Sports Con</w:t>
      </w:r>
      <w:r w:rsidR="002A64E6">
        <w:rPr>
          <w:rFonts w:eastAsia="Times New Roman" w:cs="Times New Roman"/>
          <w:sz w:val="24"/>
          <w:szCs w:val="24"/>
        </w:rPr>
        <w:t xml:space="preserve">ference wherein NBPA executives as well as the NBPA Foundation head, Sherrie Deans, </w:t>
      </w:r>
      <w:r w:rsidR="00E50256">
        <w:rPr>
          <w:rFonts w:eastAsia="Times New Roman" w:cs="Times New Roman"/>
          <w:sz w:val="24"/>
          <w:szCs w:val="24"/>
        </w:rPr>
        <w:lastRenderedPageBreak/>
        <w:t xml:space="preserve">discussed funding opportunities, </w:t>
      </w:r>
      <w:r w:rsidR="00957541">
        <w:rPr>
          <w:rFonts w:eastAsia="Times New Roman" w:cs="Times New Roman"/>
          <w:sz w:val="24"/>
          <w:szCs w:val="24"/>
        </w:rPr>
        <w:t>programming</w:t>
      </w:r>
      <w:r w:rsidR="00E50256">
        <w:rPr>
          <w:rFonts w:eastAsia="Times New Roman" w:cs="Times New Roman"/>
          <w:sz w:val="24"/>
          <w:szCs w:val="24"/>
        </w:rPr>
        <w:t xml:space="preserve"> and the potential of a group health insurance plan</w:t>
      </w:r>
      <w:r w:rsidR="002A64E6">
        <w:rPr>
          <w:rFonts w:eastAsia="Times New Roman" w:cs="Times New Roman"/>
          <w:sz w:val="24"/>
          <w:szCs w:val="24"/>
        </w:rPr>
        <w:t xml:space="preserve">. </w:t>
      </w:r>
    </w:p>
    <w:p w:rsidR="00957541" w:rsidRPr="00957541" w:rsidRDefault="00957541" w:rsidP="00957541">
      <w:pPr>
        <w:spacing w:after="0"/>
        <w:ind w:left="1440"/>
        <w:contextualSpacing/>
        <w:rPr>
          <w:rFonts w:eastAsia="Times New Roman" w:cs="Times New Roman"/>
          <w:b/>
          <w:sz w:val="24"/>
          <w:szCs w:val="24"/>
        </w:rPr>
      </w:pPr>
    </w:p>
    <w:p w:rsidR="00957541" w:rsidRPr="00AD1844" w:rsidRDefault="00957541" w:rsidP="0078679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The NBRPA leadership, inclusive of CEO Arnie </w:t>
      </w:r>
      <w:r w:rsidR="00332D7D">
        <w:rPr>
          <w:rFonts w:eastAsia="Times New Roman" w:cs="Times New Roman"/>
          <w:sz w:val="24"/>
          <w:szCs w:val="24"/>
        </w:rPr>
        <w:t>Fielkow and the Executive Committee</w:t>
      </w:r>
      <w:r w:rsidR="00E50256">
        <w:rPr>
          <w:rFonts w:eastAsia="Times New Roman" w:cs="Times New Roman"/>
          <w:sz w:val="24"/>
          <w:szCs w:val="24"/>
        </w:rPr>
        <w:t>,</w:t>
      </w:r>
      <w:bookmarkStart w:id="0" w:name="_GoBack"/>
      <w:bookmarkEnd w:id="0"/>
      <w:r w:rsidR="00332D7D">
        <w:rPr>
          <w:rFonts w:eastAsia="Times New Roman" w:cs="Times New Roman"/>
          <w:sz w:val="24"/>
          <w:szCs w:val="24"/>
        </w:rPr>
        <w:t xml:space="preserve"> will continue to actively pursue the NBPA’</w:t>
      </w:r>
      <w:r w:rsidR="00AD1844">
        <w:rPr>
          <w:rFonts w:eastAsia="Times New Roman" w:cs="Times New Roman"/>
          <w:sz w:val="24"/>
          <w:szCs w:val="24"/>
        </w:rPr>
        <w:t xml:space="preserve">s support. The Directors will be kept up-to-date on any new developments. </w:t>
      </w:r>
    </w:p>
    <w:p w:rsidR="00AD1844" w:rsidRDefault="00AD1844" w:rsidP="00AD1844">
      <w:pPr>
        <w:pStyle w:val="ListParagraph"/>
        <w:rPr>
          <w:rFonts w:eastAsia="Times New Roman" w:cs="Times New Roman"/>
          <w:b/>
          <w:sz w:val="24"/>
          <w:szCs w:val="24"/>
        </w:rPr>
      </w:pPr>
    </w:p>
    <w:p w:rsidR="00AD1844" w:rsidRDefault="00AD1844" w:rsidP="00AD1844">
      <w:pPr>
        <w:numPr>
          <w:ilvl w:val="0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2015 Dave DeBusschere Scholarship Program</w:t>
      </w:r>
    </w:p>
    <w:p w:rsidR="00A57528" w:rsidRPr="002A7787" w:rsidRDefault="00AD1844" w:rsidP="00AD1844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The </w:t>
      </w:r>
      <w:r w:rsidR="00F57150">
        <w:rPr>
          <w:rFonts w:eastAsia="Times New Roman" w:cs="Times New Roman"/>
          <w:sz w:val="24"/>
          <w:szCs w:val="24"/>
        </w:rPr>
        <w:t xml:space="preserve">NBRPA </w:t>
      </w:r>
      <w:r>
        <w:rPr>
          <w:rFonts w:eastAsia="Times New Roman" w:cs="Times New Roman"/>
          <w:sz w:val="24"/>
          <w:szCs w:val="24"/>
        </w:rPr>
        <w:t xml:space="preserve"> </w:t>
      </w:r>
      <w:r w:rsidR="00F57150">
        <w:rPr>
          <w:rFonts w:eastAsia="Times New Roman" w:cs="Times New Roman"/>
          <w:sz w:val="24"/>
          <w:szCs w:val="24"/>
        </w:rPr>
        <w:t xml:space="preserve">received 46 total applications for the 2015 Dave DeBusschere Scholarship Program. It has been determined by the </w:t>
      </w:r>
      <w:r w:rsidR="00A57528">
        <w:rPr>
          <w:rFonts w:eastAsia="Times New Roman" w:cs="Times New Roman"/>
          <w:sz w:val="24"/>
          <w:szCs w:val="24"/>
        </w:rPr>
        <w:t xml:space="preserve">Member Services and Benefits Committee that 40 applicants </w:t>
      </w:r>
      <w:r w:rsidR="00E50256">
        <w:rPr>
          <w:rFonts w:eastAsia="Times New Roman" w:cs="Times New Roman"/>
          <w:sz w:val="24"/>
          <w:szCs w:val="24"/>
        </w:rPr>
        <w:t>met</w:t>
      </w:r>
      <w:r w:rsidR="00A57528">
        <w:rPr>
          <w:rFonts w:eastAsia="Times New Roman" w:cs="Times New Roman"/>
          <w:sz w:val="24"/>
          <w:szCs w:val="24"/>
        </w:rPr>
        <w:t xml:space="preserve"> the eligibility criteria to receive the scholarships. It is recommended that the directors approve the awarding of 40 scholarships.</w:t>
      </w:r>
    </w:p>
    <w:p w:rsidR="002A7787" w:rsidRPr="00A57528" w:rsidRDefault="002A7787" w:rsidP="002A7787">
      <w:pPr>
        <w:spacing w:after="0"/>
        <w:ind w:left="1440"/>
        <w:contextualSpacing/>
        <w:rPr>
          <w:rFonts w:eastAsia="Times New Roman" w:cs="Times New Roman"/>
          <w:b/>
          <w:sz w:val="24"/>
          <w:szCs w:val="24"/>
        </w:rPr>
      </w:pPr>
    </w:p>
    <w:p w:rsidR="00A57528" w:rsidRPr="002A7787" w:rsidRDefault="00A57528" w:rsidP="00AD1844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 w:rsidRPr="002A7787">
        <w:rPr>
          <w:rFonts w:eastAsia="Times New Roman" w:cs="Times New Roman"/>
          <w:b/>
          <w:sz w:val="24"/>
          <w:szCs w:val="24"/>
        </w:rPr>
        <w:t xml:space="preserve">Motion </w:t>
      </w:r>
      <w:r w:rsidR="002A7787" w:rsidRPr="002A7787">
        <w:rPr>
          <w:rFonts w:eastAsia="Times New Roman" w:cs="Times New Roman"/>
          <w:b/>
          <w:sz w:val="24"/>
          <w:szCs w:val="24"/>
        </w:rPr>
        <w:t xml:space="preserve">Bob Elliott </w:t>
      </w:r>
      <w:r w:rsidRPr="002A7787">
        <w:rPr>
          <w:rFonts w:eastAsia="Times New Roman" w:cs="Times New Roman"/>
          <w:b/>
          <w:sz w:val="24"/>
          <w:szCs w:val="24"/>
        </w:rPr>
        <w:t>to approve the 40 eligible Dave DeBusschere Schola</w:t>
      </w:r>
      <w:r w:rsidR="002A7787" w:rsidRPr="002A7787">
        <w:rPr>
          <w:rFonts w:eastAsia="Times New Roman" w:cs="Times New Roman"/>
          <w:b/>
          <w:sz w:val="24"/>
          <w:szCs w:val="24"/>
        </w:rPr>
        <w:t xml:space="preserve">rship applicants for the 2015 award. The motion was seconded by Dwight Davis. The motion passed unanimously with a vote of 7-0 with Eldridge Recasner and Michel Glenn recusing themselves from the discussion and vote. </w:t>
      </w:r>
    </w:p>
    <w:p w:rsidR="00A04726" w:rsidRPr="003B1057" w:rsidRDefault="00A04726" w:rsidP="00A04726">
      <w:pPr>
        <w:spacing w:after="0"/>
        <w:ind w:left="1440"/>
        <w:contextualSpacing/>
        <w:rPr>
          <w:rFonts w:eastAsia="Times New Roman" w:cs="Times New Roman"/>
          <w:b/>
          <w:sz w:val="24"/>
          <w:szCs w:val="24"/>
        </w:rPr>
      </w:pPr>
    </w:p>
    <w:p w:rsidR="00A04726" w:rsidRPr="003B1057" w:rsidRDefault="00A04726" w:rsidP="00A04726">
      <w:pPr>
        <w:numPr>
          <w:ilvl w:val="0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 w:rsidRPr="003B1057">
        <w:rPr>
          <w:rFonts w:eastAsia="Times New Roman" w:cs="Times New Roman"/>
          <w:b/>
          <w:sz w:val="24"/>
          <w:szCs w:val="24"/>
        </w:rPr>
        <w:t>Adjournment</w:t>
      </w:r>
    </w:p>
    <w:p w:rsidR="00A04726" w:rsidRPr="003B1057" w:rsidRDefault="00BF69DC" w:rsidP="00A04726">
      <w:pPr>
        <w:numPr>
          <w:ilvl w:val="1"/>
          <w:numId w:val="1"/>
        </w:numPr>
        <w:spacing w:after="0"/>
        <w:contextualSpacing/>
        <w:rPr>
          <w:rFonts w:eastAsia="Times New Roman" w:cs="Times New Roman"/>
          <w:b/>
          <w:sz w:val="24"/>
          <w:szCs w:val="24"/>
        </w:rPr>
      </w:pPr>
      <w:r w:rsidRPr="003B1057">
        <w:rPr>
          <w:rFonts w:eastAsia="Times New Roman" w:cs="Times New Roman"/>
          <w:sz w:val="24"/>
          <w:szCs w:val="24"/>
        </w:rPr>
        <w:t xml:space="preserve">The meeting adjourned at </w:t>
      </w:r>
      <w:r w:rsidR="00CE422B">
        <w:rPr>
          <w:rFonts w:eastAsia="Times New Roman" w:cs="Times New Roman"/>
          <w:sz w:val="24"/>
          <w:szCs w:val="24"/>
        </w:rPr>
        <w:t xml:space="preserve">5 p.m. PST. </w:t>
      </w:r>
      <w:r w:rsidRPr="003B1057">
        <w:rPr>
          <w:rFonts w:eastAsia="Times New Roman" w:cs="Times New Roman"/>
          <w:sz w:val="24"/>
          <w:szCs w:val="24"/>
        </w:rPr>
        <w:t xml:space="preserve"> </w:t>
      </w:r>
    </w:p>
    <w:p w:rsidR="00A04726" w:rsidRPr="003B1057" w:rsidRDefault="00A04726" w:rsidP="00A04726">
      <w:pPr>
        <w:spacing w:after="0"/>
        <w:ind w:left="1440"/>
        <w:contextualSpacing/>
        <w:rPr>
          <w:rFonts w:eastAsia="Times New Roman" w:cs="Times New Roman"/>
          <w:b/>
          <w:sz w:val="24"/>
          <w:szCs w:val="24"/>
        </w:rPr>
      </w:pPr>
      <w:r w:rsidRPr="003B1057">
        <w:rPr>
          <w:rFonts w:eastAsia="Times New Roman" w:cs="Times New Roman"/>
          <w:b/>
          <w:sz w:val="24"/>
          <w:szCs w:val="24"/>
        </w:rPr>
        <w:t xml:space="preserve">   </w:t>
      </w:r>
    </w:p>
    <w:p w:rsidR="00A04726" w:rsidRPr="003B1057" w:rsidRDefault="00A04726" w:rsidP="00A04726">
      <w:pPr>
        <w:spacing w:after="0"/>
        <w:ind w:left="1440"/>
        <w:contextualSpacing/>
        <w:rPr>
          <w:rFonts w:eastAsia="Times New Roman" w:cs="Times New Roman"/>
          <w:b/>
          <w:sz w:val="24"/>
          <w:szCs w:val="24"/>
        </w:rPr>
      </w:pPr>
    </w:p>
    <w:p w:rsidR="00A04726" w:rsidRPr="00A04726" w:rsidRDefault="00A04726" w:rsidP="00A04726">
      <w:pPr>
        <w:spacing w:after="0"/>
        <w:ind w:left="144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:rsidR="00A04726" w:rsidRPr="00A04726" w:rsidRDefault="00A04726" w:rsidP="00A04726">
      <w:pPr>
        <w:spacing w:after="0"/>
        <w:ind w:left="144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:rsidR="00A04726" w:rsidRPr="00A04726" w:rsidRDefault="00A04726" w:rsidP="00A04726">
      <w:pPr>
        <w:spacing w:after="0"/>
        <w:ind w:left="144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:rsidR="00A04726" w:rsidRPr="00A04726" w:rsidRDefault="00A04726" w:rsidP="00A04726">
      <w:pPr>
        <w:spacing w:after="0"/>
        <w:ind w:left="144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:rsidR="00A04726" w:rsidRPr="00A04726" w:rsidRDefault="00A04726" w:rsidP="00A04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16DCB" w:rsidRDefault="00E50256"/>
    <w:sectPr w:rsidR="00716DCB" w:rsidSect="005B307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0760"/>
    <w:multiLevelType w:val="hybridMultilevel"/>
    <w:tmpl w:val="6FC0731A"/>
    <w:lvl w:ilvl="0" w:tplc="7B7E09A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391E80CA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9F3D26"/>
    <w:multiLevelType w:val="hybridMultilevel"/>
    <w:tmpl w:val="AF666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96D28FD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6A66E5"/>
    <w:multiLevelType w:val="hybridMultilevel"/>
    <w:tmpl w:val="B3820544"/>
    <w:lvl w:ilvl="0" w:tplc="53F8CA80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26"/>
    <w:rsid w:val="00015144"/>
    <w:rsid w:val="00025959"/>
    <w:rsid w:val="0003200F"/>
    <w:rsid w:val="00042BFA"/>
    <w:rsid w:val="000F18B4"/>
    <w:rsid w:val="00122BE3"/>
    <w:rsid w:val="00131076"/>
    <w:rsid w:val="00211003"/>
    <w:rsid w:val="002155C7"/>
    <w:rsid w:val="0021656A"/>
    <w:rsid w:val="002638C5"/>
    <w:rsid w:val="002A2960"/>
    <w:rsid w:val="002A64E6"/>
    <w:rsid w:val="002A7787"/>
    <w:rsid w:val="002D10CB"/>
    <w:rsid w:val="00301DCD"/>
    <w:rsid w:val="00306646"/>
    <w:rsid w:val="003152B9"/>
    <w:rsid w:val="00332D7D"/>
    <w:rsid w:val="003B1057"/>
    <w:rsid w:val="003B42A2"/>
    <w:rsid w:val="0043514E"/>
    <w:rsid w:val="0045584C"/>
    <w:rsid w:val="005011A4"/>
    <w:rsid w:val="005842A0"/>
    <w:rsid w:val="005C11D9"/>
    <w:rsid w:val="005D7754"/>
    <w:rsid w:val="00627769"/>
    <w:rsid w:val="006601A0"/>
    <w:rsid w:val="0066452B"/>
    <w:rsid w:val="00683585"/>
    <w:rsid w:val="00786796"/>
    <w:rsid w:val="007F139B"/>
    <w:rsid w:val="00874706"/>
    <w:rsid w:val="008A1DBC"/>
    <w:rsid w:val="00924F21"/>
    <w:rsid w:val="0094376A"/>
    <w:rsid w:val="00957541"/>
    <w:rsid w:val="00960859"/>
    <w:rsid w:val="00A04726"/>
    <w:rsid w:val="00A256DF"/>
    <w:rsid w:val="00A57528"/>
    <w:rsid w:val="00AB5A91"/>
    <w:rsid w:val="00AD1844"/>
    <w:rsid w:val="00B02E97"/>
    <w:rsid w:val="00BF69DC"/>
    <w:rsid w:val="00C63A86"/>
    <w:rsid w:val="00C753B8"/>
    <w:rsid w:val="00CE422B"/>
    <w:rsid w:val="00D14BDF"/>
    <w:rsid w:val="00D229AB"/>
    <w:rsid w:val="00D22C1C"/>
    <w:rsid w:val="00D70648"/>
    <w:rsid w:val="00E04776"/>
    <w:rsid w:val="00E50256"/>
    <w:rsid w:val="00EE1EE2"/>
    <w:rsid w:val="00EF28F4"/>
    <w:rsid w:val="00F41853"/>
    <w:rsid w:val="00F57150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Chips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Rochelle</dc:creator>
  <cp:lastModifiedBy>Scott Rochelle</cp:lastModifiedBy>
  <cp:revision>4</cp:revision>
  <dcterms:created xsi:type="dcterms:W3CDTF">2015-09-03T04:36:00Z</dcterms:created>
  <dcterms:modified xsi:type="dcterms:W3CDTF">2015-09-03T15:04:00Z</dcterms:modified>
</cp:coreProperties>
</file>